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5D" w:rsidRP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  <w:r w:rsidRPr="00AD775D">
        <w:rPr>
          <w:rFonts w:ascii="Times New Roman" w:eastAsia="Calibri" w:hAnsi="Times New Roman" w:cs="Times New Roman"/>
          <w:sz w:val="28"/>
        </w:rPr>
        <w:t xml:space="preserve">Докладчик  </w:t>
      </w:r>
      <w:r w:rsidRPr="00AD775D">
        <w:rPr>
          <w:rFonts w:ascii="Times New Roman" w:hAnsi="Times New Roman" w:cs="Times New Roman"/>
          <w:sz w:val="28"/>
        </w:rPr>
        <w:t>Яковина Л.</w:t>
      </w:r>
      <w:r w:rsidRPr="00AD775D">
        <w:rPr>
          <w:rFonts w:ascii="Times New Roman" w:eastAsia="Calibri" w:hAnsi="Times New Roman" w:cs="Times New Roman"/>
          <w:sz w:val="28"/>
        </w:rPr>
        <w:t>.</w:t>
      </w:r>
    </w:p>
    <w:p w:rsidR="00AD775D" w:rsidRP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AD775D" w:rsidRP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  <w:r w:rsidRPr="00AD775D">
        <w:rPr>
          <w:rFonts w:ascii="Times New Roman" w:eastAsia="Calibri" w:hAnsi="Times New Roman" w:cs="Times New Roman"/>
          <w:sz w:val="28"/>
        </w:rPr>
        <w:t xml:space="preserve">Научный  руководитель </w:t>
      </w:r>
      <w:r w:rsidRPr="00AD775D">
        <w:rPr>
          <w:rFonts w:ascii="Times New Roman" w:hAnsi="Times New Roman" w:cs="Times New Roman"/>
          <w:sz w:val="28"/>
        </w:rPr>
        <w:t xml:space="preserve">Нефедова </w:t>
      </w:r>
      <w:r w:rsidRPr="00AD775D">
        <w:rPr>
          <w:rFonts w:ascii="Times New Roman" w:eastAsia="Calibri" w:hAnsi="Times New Roman" w:cs="Times New Roman"/>
          <w:sz w:val="28"/>
        </w:rPr>
        <w:t>Т.А.</w:t>
      </w:r>
    </w:p>
    <w:p w:rsidR="00AD775D" w:rsidRP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AD775D" w:rsidRP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  <w:proofErr w:type="spellStart"/>
      <w:r w:rsidRPr="00AD775D">
        <w:rPr>
          <w:rFonts w:ascii="Times New Roman" w:eastAsia="Calibri" w:hAnsi="Times New Roman" w:cs="Times New Roman"/>
          <w:sz w:val="28"/>
          <w:szCs w:val="26"/>
        </w:rPr>
        <w:t>Краснодонский</w:t>
      </w:r>
      <w:proofErr w:type="spellEnd"/>
      <w:r w:rsidRPr="00AD775D">
        <w:rPr>
          <w:rFonts w:ascii="Times New Roman" w:eastAsia="Calibri" w:hAnsi="Times New Roman" w:cs="Times New Roman"/>
          <w:sz w:val="28"/>
          <w:szCs w:val="26"/>
        </w:rPr>
        <w:t xml:space="preserve"> промышленно-экономический колледж</w:t>
      </w:r>
    </w:p>
    <w:p w:rsid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AD775D" w:rsidRPr="00AD775D" w:rsidRDefault="00AD775D" w:rsidP="00AD775D">
      <w:pPr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46284E" w:rsidRPr="00AD775D" w:rsidRDefault="00AD775D" w:rsidP="00AD775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775D">
        <w:rPr>
          <w:rFonts w:ascii="Times New Roman" w:hAnsi="Times New Roman" w:cs="Times New Roman"/>
          <w:sz w:val="28"/>
          <w:szCs w:val="28"/>
        </w:rPr>
        <w:t xml:space="preserve"> СОСТОЯНИЕ РАЗВИТИЯ И АНАЛИЗ ПРОБЛЕМ МАЛОГО И СРЕДНЕГО ПРЕДПРИНИМАТЕЛЬСТВА Г. КРАСНОДОНА</w:t>
      </w:r>
    </w:p>
    <w:p w:rsidR="0046284E" w:rsidRPr="0046284E" w:rsidRDefault="0046284E" w:rsidP="00AD77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     За последние годы предпринимательство малого и среднего бизнеса усилило влияние на структурную перестройку экономики города. Представители малого бизнеса составляют многочисленную группу владельцев, которая создает массовую продукцию первой необходимости, гибко и своевременно реагирует на изменение потребностей в сфере спроса и предложения.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    Всего в малом бизнесе задействовано 27,7% всего занятого экономической деятельностью трудоспособного населения города. Субъекты малого предпринимательства обеспечили занятость более 6,5 тыс.</w:t>
      </w:r>
      <w:r>
        <w:rPr>
          <w:rFonts w:ascii="Times New Roman" w:hAnsi="Times New Roman" w:cs="Times New Roman"/>
          <w:sz w:val="28"/>
          <w:szCs w:val="28"/>
        </w:rPr>
        <w:t xml:space="preserve"> чел., в т. ч</w:t>
      </w:r>
      <w:r w:rsidRPr="0046284E">
        <w:rPr>
          <w:rFonts w:ascii="Times New Roman" w:hAnsi="Times New Roman" w:cs="Times New Roman"/>
          <w:sz w:val="28"/>
          <w:szCs w:val="28"/>
        </w:rPr>
        <w:t>. На малых предприятиях с численностью работающих, в среднем от 3 до 7 че</w:t>
      </w:r>
      <w:r>
        <w:rPr>
          <w:rFonts w:ascii="Times New Roman" w:hAnsi="Times New Roman" w:cs="Times New Roman"/>
          <w:sz w:val="28"/>
          <w:szCs w:val="28"/>
        </w:rPr>
        <w:t>л., Было занято около 1,3 тыс. ч</w:t>
      </w:r>
      <w:r w:rsidRPr="0046284E">
        <w:rPr>
          <w:rFonts w:ascii="Times New Roman" w:hAnsi="Times New Roman" w:cs="Times New Roman"/>
          <w:sz w:val="28"/>
          <w:szCs w:val="28"/>
        </w:rPr>
        <w:t>ел. Уровень занятости на малых предприятиях остается на уровне 10% от количества населения трудоспособного возраста.</w:t>
      </w:r>
      <w:r w:rsidR="00A15C29">
        <w:rPr>
          <w:rFonts w:ascii="Times New Roman" w:hAnsi="Times New Roman" w:cs="Times New Roman"/>
          <w:sz w:val="28"/>
          <w:szCs w:val="28"/>
        </w:rPr>
        <w:t xml:space="preserve"> Лидирующее место </w:t>
      </w:r>
      <w:r w:rsidRPr="0046284E">
        <w:rPr>
          <w:rFonts w:ascii="Times New Roman" w:hAnsi="Times New Roman" w:cs="Times New Roman"/>
          <w:sz w:val="28"/>
          <w:szCs w:val="28"/>
        </w:rPr>
        <w:t>занима</w:t>
      </w:r>
      <w:r w:rsidR="00A15C29">
        <w:rPr>
          <w:rFonts w:ascii="Times New Roman" w:hAnsi="Times New Roman" w:cs="Times New Roman"/>
          <w:sz w:val="28"/>
          <w:szCs w:val="28"/>
        </w:rPr>
        <w:t xml:space="preserve">ет </w:t>
      </w:r>
      <w:r w:rsidRPr="0046284E">
        <w:rPr>
          <w:rFonts w:ascii="Times New Roman" w:hAnsi="Times New Roman" w:cs="Times New Roman"/>
          <w:sz w:val="28"/>
          <w:szCs w:val="28"/>
        </w:rPr>
        <w:t xml:space="preserve"> оптовая и розничная торговля.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 xml:space="preserve">     Представителями малого бизнеса обслуживается большая часть сферы потребительского рынка. Также деятельность субъектов малого предпринимательства сосредоточена в сфере операций предоставления услуг, строительства, ремонта жилья, деятельность транспорта и связи. Действующие малые предприятия способны удовлетворять спрос населения города на отдельные виды продукции, однако оборудование и технологии, </w:t>
      </w:r>
      <w:r w:rsidRPr="0046284E">
        <w:rPr>
          <w:rFonts w:ascii="Times New Roman" w:hAnsi="Times New Roman" w:cs="Times New Roman"/>
          <w:sz w:val="28"/>
          <w:szCs w:val="28"/>
        </w:rPr>
        <w:lastRenderedPageBreak/>
        <w:t xml:space="preserve">которые ими </w:t>
      </w:r>
      <w:proofErr w:type="gramStart"/>
      <w:r w:rsidRPr="0046284E">
        <w:rPr>
          <w:rFonts w:ascii="Times New Roman" w:hAnsi="Times New Roman" w:cs="Times New Roman"/>
          <w:sz w:val="28"/>
          <w:szCs w:val="28"/>
        </w:rPr>
        <w:t>используются</w:t>
      </w:r>
      <w:proofErr w:type="gramEnd"/>
      <w:r w:rsidRPr="0046284E">
        <w:rPr>
          <w:rFonts w:ascii="Times New Roman" w:hAnsi="Times New Roman" w:cs="Times New Roman"/>
          <w:sz w:val="28"/>
          <w:szCs w:val="28"/>
        </w:rPr>
        <w:t xml:space="preserve"> позволяют изготавливать продукцию в небольшом ассортименте.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   Субъекты малого предпринимательства осваивают все больше новых направлений деятельности и предоставляют населению услуги, требующие большой образовательной подготовки, более интеллектуального подхода к ведению бизнеса, в т.ч</w:t>
      </w:r>
      <w:proofErr w:type="gramStart"/>
      <w:r w:rsidRPr="004628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284E">
        <w:rPr>
          <w:rFonts w:ascii="Times New Roman" w:hAnsi="Times New Roman" w:cs="Times New Roman"/>
          <w:sz w:val="28"/>
          <w:szCs w:val="28"/>
        </w:rPr>
        <w:t>: услуги по бухгалтерскому учету, аудиторские, юридические услуги. В то же время, некоторы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284E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6284E">
        <w:rPr>
          <w:rFonts w:ascii="Times New Roman" w:hAnsi="Times New Roman" w:cs="Times New Roman"/>
          <w:sz w:val="28"/>
          <w:szCs w:val="28"/>
        </w:rPr>
        <w:t xml:space="preserve"> услуг недостаточно или вообще нет (услуги химчистки, уход за детьми и т.д.), или их предложение превышает спрос (рекламные услуги,  розничная торговля).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   В сфере услуг задействованы, в основном, физические лица-предприниматели, которые обеспечивают население медицинскими, фармацевтическими бытовыми и транспортными услугами. В общем количестве субъектов малого предпринимательства города физические лица-предприниматели составляют более 50%.</w:t>
      </w:r>
    </w:p>
    <w:p w:rsidR="009A6645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По развертыванию депрессионных процессов в экономике, число зарегистрированных в городе Количество физических лиц-предпринимателей, по годам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7810" cy="273240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 xml:space="preserve">Изменения налогового законодательства и установления новых правил ведения бизнеса привели к образованию отрицательного баланса между количеством вновь физических лиц-предпринимателей и количеством </w:t>
      </w:r>
      <w:r w:rsidRPr="0046284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 малого бизнеса. Количество физических лиц-предпринимателей, которые в течение года прекратили свою деятельность, на 28,3% превысило количество </w:t>
      </w:r>
      <w:proofErr w:type="gramStart"/>
      <w:r w:rsidRPr="0046284E">
        <w:rPr>
          <w:rFonts w:ascii="Times New Roman" w:hAnsi="Times New Roman" w:cs="Times New Roman"/>
          <w:sz w:val="28"/>
          <w:szCs w:val="28"/>
        </w:rPr>
        <w:t>зарегистрированных</w:t>
      </w:r>
      <w:proofErr w:type="gramEnd"/>
      <w:r w:rsidRPr="0046284E">
        <w:rPr>
          <w:rFonts w:ascii="Times New Roman" w:hAnsi="Times New Roman" w:cs="Times New Roman"/>
          <w:sz w:val="28"/>
          <w:szCs w:val="28"/>
        </w:rPr>
        <w:t xml:space="preserve"> и составила 289 чел.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Количество зарегистрированных субъектов предпринимательской деятельности, лиц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7355" cy="22860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</w:p>
    <w:p w:rsidR="0046284E" w:rsidRPr="0046284E" w:rsidRDefault="00E22282" w:rsidP="00462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2014 года по сравнению с 2013</w:t>
      </w:r>
      <w:r w:rsidR="0046284E" w:rsidRPr="0046284E">
        <w:rPr>
          <w:rFonts w:ascii="Times New Roman" w:hAnsi="Times New Roman" w:cs="Times New Roman"/>
          <w:sz w:val="28"/>
          <w:szCs w:val="28"/>
        </w:rPr>
        <w:t xml:space="preserve"> годом увеличилось на 0,8 тыс. Чел. количество плательщиков единого налога и составила 2,8 тыс. чел. Единый налог остается одним из весомых источников наполнения городского бюджета.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Сфера предпринимательства вносит весомый вклад в экономику города. В 201</w:t>
      </w:r>
      <w:r w:rsidR="00B86D66">
        <w:rPr>
          <w:rFonts w:ascii="Times New Roman" w:hAnsi="Times New Roman" w:cs="Times New Roman"/>
          <w:sz w:val="28"/>
          <w:szCs w:val="28"/>
        </w:rPr>
        <w:t>4</w:t>
      </w:r>
      <w:r w:rsidRPr="0046284E">
        <w:rPr>
          <w:rFonts w:ascii="Times New Roman" w:hAnsi="Times New Roman" w:cs="Times New Roman"/>
          <w:sz w:val="28"/>
          <w:szCs w:val="28"/>
        </w:rPr>
        <w:t xml:space="preserve"> году предприятиями малого бизнеса реализовано продукц</w:t>
      </w:r>
      <w:r w:rsidR="00B86D66">
        <w:rPr>
          <w:rFonts w:ascii="Times New Roman" w:hAnsi="Times New Roman" w:cs="Times New Roman"/>
          <w:sz w:val="28"/>
          <w:szCs w:val="28"/>
        </w:rPr>
        <w:t>ии (работ, услуг) на сумму 229,6</w:t>
      </w:r>
      <w:r w:rsidRPr="0046284E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46284E">
        <w:rPr>
          <w:rFonts w:ascii="Times New Roman" w:hAnsi="Times New Roman" w:cs="Times New Roman"/>
          <w:sz w:val="28"/>
          <w:szCs w:val="28"/>
        </w:rPr>
        <w:t>.</w:t>
      </w:r>
      <w:r w:rsidR="00B86D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86D66">
        <w:rPr>
          <w:rFonts w:ascii="Times New Roman" w:hAnsi="Times New Roman" w:cs="Times New Roman"/>
          <w:sz w:val="28"/>
          <w:szCs w:val="28"/>
        </w:rPr>
        <w:t>уб</w:t>
      </w:r>
      <w:r w:rsidRPr="0046284E">
        <w:rPr>
          <w:rFonts w:ascii="Times New Roman" w:hAnsi="Times New Roman" w:cs="Times New Roman"/>
          <w:sz w:val="28"/>
          <w:szCs w:val="28"/>
        </w:rPr>
        <w:t>. (4,2% в общем объеме).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Доля налоговых поступлений в бюджет города от деятельности субъектов малого предпринимательства составила 15,1%.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  Среднемесячная заработная плата в сфере малого бизн</w:t>
      </w:r>
      <w:r w:rsidR="00B86D66">
        <w:rPr>
          <w:rFonts w:ascii="Times New Roman" w:hAnsi="Times New Roman" w:cs="Times New Roman"/>
          <w:sz w:val="28"/>
          <w:szCs w:val="28"/>
        </w:rPr>
        <w:t>еса составила в 2014 году - 3208,0 руб</w:t>
      </w:r>
      <w:r w:rsidRPr="0046284E">
        <w:rPr>
          <w:rFonts w:ascii="Times New Roman" w:hAnsi="Times New Roman" w:cs="Times New Roman"/>
          <w:sz w:val="28"/>
          <w:szCs w:val="28"/>
        </w:rPr>
        <w:t>., В течение 201</w:t>
      </w:r>
      <w:r w:rsidR="00B86D66">
        <w:rPr>
          <w:rFonts w:ascii="Times New Roman" w:hAnsi="Times New Roman" w:cs="Times New Roman"/>
          <w:sz w:val="28"/>
          <w:szCs w:val="28"/>
        </w:rPr>
        <w:t>5 года - 3632,0 руб</w:t>
      </w:r>
      <w:r w:rsidRPr="0046284E">
        <w:rPr>
          <w:rFonts w:ascii="Times New Roman" w:hAnsi="Times New Roman" w:cs="Times New Roman"/>
          <w:sz w:val="28"/>
          <w:szCs w:val="28"/>
        </w:rPr>
        <w:t>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Большая часть созданных новых рабочих мест создается субъектами малого бизнеса. В 201</w:t>
      </w:r>
      <w:r w:rsidR="00B86D66">
        <w:rPr>
          <w:rFonts w:ascii="Times New Roman" w:hAnsi="Times New Roman" w:cs="Times New Roman"/>
          <w:sz w:val="28"/>
          <w:szCs w:val="28"/>
        </w:rPr>
        <w:t>4</w:t>
      </w:r>
      <w:r w:rsidRPr="0046284E">
        <w:rPr>
          <w:rFonts w:ascii="Times New Roman" w:hAnsi="Times New Roman" w:cs="Times New Roman"/>
          <w:sz w:val="28"/>
          <w:szCs w:val="28"/>
        </w:rPr>
        <w:t xml:space="preserve"> году удельный вес общего количества созданных рабочих мест субъектами малого бизнеса составила 88,9% (1194 новых рабочих мест), в течение 201</w:t>
      </w:r>
      <w:r w:rsidR="00B86D66">
        <w:rPr>
          <w:rFonts w:ascii="Times New Roman" w:hAnsi="Times New Roman" w:cs="Times New Roman"/>
          <w:sz w:val="28"/>
          <w:szCs w:val="28"/>
        </w:rPr>
        <w:t>5</w:t>
      </w:r>
      <w:r w:rsidRPr="0046284E">
        <w:rPr>
          <w:rFonts w:ascii="Times New Roman" w:hAnsi="Times New Roman" w:cs="Times New Roman"/>
          <w:sz w:val="28"/>
          <w:szCs w:val="28"/>
        </w:rPr>
        <w:t xml:space="preserve"> года -99,8%.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86D66">
        <w:rPr>
          <w:rFonts w:ascii="Times New Roman" w:hAnsi="Times New Roman" w:cs="Times New Roman"/>
          <w:sz w:val="28"/>
          <w:szCs w:val="28"/>
        </w:rPr>
        <w:t xml:space="preserve">2015 </w:t>
      </w:r>
      <w:r w:rsidRPr="0046284E">
        <w:rPr>
          <w:rFonts w:ascii="Times New Roman" w:hAnsi="Times New Roman" w:cs="Times New Roman"/>
          <w:sz w:val="28"/>
          <w:szCs w:val="28"/>
        </w:rPr>
        <w:t>году было зарегистрировано 14 малых предприятий (прекратило деятельность 21) и 289 предпринимателей - физических лиц (прекратило деятельность - 371), что к уровню прошлого отчетного периода составляет соответственно 56% и 88%.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 xml:space="preserve">Следует отметить, что малое предпринимательство как самостоятельное социально-экономическое явление существует и развивается в сложных условиях современной экономики, сталкиваясь с множеством проблем, подавляющее большинство которых </w:t>
      </w:r>
      <w:proofErr w:type="gramStart"/>
      <w:r w:rsidRPr="0046284E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Pr="0046284E">
        <w:rPr>
          <w:rFonts w:ascii="Times New Roman" w:hAnsi="Times New Roman" w:cs="Times New Roman"/>
          <w:sz w:val="28"/>
          <w:szCs w:val="28"/>
        </w:rPr>
        <w:t xml:space="preserve"> ​​недостаточностью поддержки</w:t>
      </w:r>
      <w:r w:rsidR="00B86D66">
        <w:rPr>
          <w:rFonts w:ascii="Times New Roman" w:hAnsi="Times New Roman" w:cs="Times New Roman"/>
          <w:sz w:val="28"/>
          <w:szCs w:val="28"/>
        </w:rPr>
        <w:t xml:space="preserve"> со стороны республики</w:t>
      </w:r>
      <w:r w:rsidRPr="0046284E">
        <w:rPr>
          <w:rFonts w:ascii="Times New Roman" w:hAnsi="Times New Roman" w:cs="Times New Roman"/>
          <w:sz w:val="28"/>
          <w:szCs w:val="28"/>
        </w:rPr>
        <w:t>. На снижение жизнеспособности субъектов малого и среднего бизнеса влияют значительное налоговое бремя, ограничения финансово-кредитных ресурсов, слабость материальной и технической составляющих деятельности малого предпринимательства.</w:t>
      </w:r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>Для осуществления производственного процесса субъекты малого предпринимательства вынуждены покупать ресурсы (топливо, электроэнергию и т.д.) по высоким ценам, продавая свою продукцию по ценам ниже из-за недостаточной платежеспособности потребителей. Поэтому, со временем малые предприятия становятся неконкурентоспособными и исчезают. Следует заметить, что основным источником инвестирования для малых предприятий остаются собственные финансовые ресурсы. Доступ к альтернативным источникам финансирования (бюджетного или кредитного) у субъектов предпринимательства остается ограниченным.</w:t>
      </w:r>
    </w:p>
    <w:p w:rsidR="00B86D66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 xml:space="preserve">       Отдельно следует выделить проблему недостаточности собственной подготовки к бизнесу и нехватки квалифицированного персонала. Действующие субъекты малого предпринимательства сталкиваются с трудностями в реализации продукции и доступе к сырью и материалам. </w:t>
      </w:r>
      <w:proofErr w:type="gramStart"/>
      <w:r w:rsidRPr="0046284E">
        <w:rPr>
          <w:rFonts w:ascii="Times New Roman" w:hAnsi="Times New Roman" w:cs="Times New Roman"/>
          <w:sz w:val="28"/>
          <w:szCs w:val="28"/>
        </w:rPr>
        <w:t>Очень часто имеется сырье не соответствует двум факторам: ценовом и качественном.</w:t>
      </w:r>
      <w:proofErr w:type="gramEnd"/>
    </w:p>
    <w:p w:rsidR="0046284E" w:rsidRPr="0046284E" w:rsidRDefault="0046284E" w:rsidP="0046284E">
      <w:pPr>
        <w:rPr>
          <w:rFonts w:ascii="Times New Roman" w:hAnsi="Times New Roman" w:cs="Times New Roman"/>
          <w:sz w:val="28"/>
          <w:szCs w:val="28"/>
        </w:rPr>
      </w:pPr>
      <w:r w:rsidRPr="0046284E">
        <w:rPr>
          <w:rFonts w:ascii="Times New Roman" w:hAnsi="Times New Roman" w:cs="Times New Roman"/>
          <w:sz w:val="28"/>
          <w:szCs w:val="28"/>
        </w:rPr>
        <w:t xml:space="preserve">      С целью проведения диагностики предпринимательской среды, </w:t>
      </w:r>
      <w:r w:rsidR="00B86D66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46284E">
        <w:rPr>
          <w:rFonts w:ascii="Times New Roman" w:hAnsi="Times New Roman" w:cs="Times New Roman"/>
          <w:sz w:val="28"/>
          <w:szCs w:val="28"/>
        </w:rPr>
        <w:t xml:space="preserve">анализ, который предполагает определение сильных и слабых </w:t>
      </w:r>
      <w:r w:rsidRPr="0046284E">
        <w:rPr>
          <w:rFonts w:ascii="Times New Roman" w:hAnsi="Times New Roman" w:cs="Times New Roman"/>
          <w:sz w:val="28"/>
          <w:szCs w:val="28"/>
        </w:rPr>
        <w:lastRenderedPageBreak/>
        <w:t>сторон, сектора малого предпринимательства, а также основные шансы и угрозы его развития.</w:t>
      </w:r>
    </w:p>
    <w:tbl>
      <w:tblPr>
        <w:tblW w:w="10400" w:type="dxa"/>
        <w:tblInd w:w="-939" w:type="dxa"/>
        <w:tblCellMar>
          <w:left w:w="0" w:type="dxa"/>
          <w:right w:w="0" w:type="dxa"/>
        </w:tblCellMar>
        <w:tblLook w:val="00A0"/>
      </w:tblPr>
      <w:tblGrid>
        <w:gridCol w:w="5085"/>
        <w:gridCol w:w="5315"/>
      </w:tblGrid>
      <w:tr w:rsidR="0046284E" w:rsidRPr="00B46923" w:rsidTr="00DD357A">
        <w:tc>
          <w:tcPr>
            <w:tcW w:w="10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84E" w:rsidRPr="00B46923" w:rsidRDefault="00B86D66" w:rsidP="00B469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SWOT анали</w:t>
            </w:r>
            <w:r w:rsidR="0046284E" w:rsidRPr="00B4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</w:tr>
      <w:tr w:rsidR="00B46923" w:rsidRPr="00B46923" w:rsidTr="00DD357A">
        <w:tc>
          <w:tcPr>
            <w:tcW w:w="5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923" w:rsidRPr="00B46923" w:rsidRDefault="00B46923" w:rsidP="00B4692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46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Положительные факторы настоящее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923" w:rsidRPr="00B46923" w:rsidRDefault="00B46923" w:rsidP="00B469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Слабые стороны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4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Негативные факторы настоящее</w:t>
            </w:r>
          </w:p>
        </w:tc>
      </w:tr>
      <w:tr w:rsidR="00B46923" w:rsidRPr="00B46923" w:rsidTr="00DD357A">
        <w:tc>
          <w:tcPr>
            <w:tcW w:w="5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923" w:rsidRPr="00B46923" w:rsidRDefault="00B46923" w:rsidP="00B469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1.Увеличение поступлений в бюджет, в том числе в местный бюджет от деятельности субъектов предпринимательства.</w:t>
            </w:r>
          </w:p>
          <w:p w:rsidR="00B46923" w:rsidRPr="00B46923" w:rsidRDefault="00B46923" w:rsidP="00B469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2. Создание новых рабочих мест для жителей города за счет открытия новых объектов.</w:t>
            </w:r>
          </w:p>
          <w:p w:rsidR="00B46923" w:rsidRPr="00B46923" w:rsidRDefault="00B46923" w:rsidP="00B469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3. Привлечение инвестиционного капитала..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1. Недоста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точная финансовая поддержка на республиканском 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и местном уровне.</w:t>
            </w:r>
          </w:p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2. Недоступность финансово кредитных ресурсов.</w:t>
            </w:r>
          </w:p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3. Сложная система получения разрешений.</w:t>
            </w:r>
          </w:p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4. Несовершенство законодательной базы.</w:t>
            </w:r>
          </w:p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5.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жные финансовые условия, большое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налоговое давление.</w:t>
            </w:r>
          </w:p>
        </w:tc>
      </w:tr>
      <w:tr w:rsidR="0046284E" w:rsidRPr="00B46923" w:rsidTr="00DD357A">
        <w:tc>
          <w:tcPr>
            <w:tcW w:w="5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923" w:rsidRPr="00B46923" w:rsidRDefault="00B46923" w:rsidP="00B469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Возможности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4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Положительные возможности, которые ожидаем в будущем</w:t>
            </w:r>
          </w:p>
          <w:p w:rsidR="0046284E" w:rsidRPr="00B46923" w:rsidRDefault="0046284E" w:rsidP="00B469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923" w:rsidRPr="00B46923" w:rsidRDefault="00B46923" w:rsidP="00B469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b/>
                <w:sz w:val="28"/>
                <w:szCs w:val="28"/>
              </w:rPr>
              <w:t>Угрозы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46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Негативные возможности, которые ожидаем в будущем</w:t>
            </w:r>
          </w:p>
          <w:p w:rsidR="0046284E" w:rsidRPr="00B46923" w:rsidRDefault="0046284E" w:rsidP="00B469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284E" w:rsidRPr="00B46923" w:rsidTr="00DD357A">
        <w:tc>
          <w:tcPr>
            <w:tcW w:w="5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доступа субъектов малого предпринима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к финансово - кредитным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 xml:space="preserve"> ресурс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2. Удешевление кредитования проектов малого и среднего бизнеса, в первую очередь тех, которые влияют на повышение уровня занятости населения.</w:t>
            </w:r>
          </w:p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полного финансирования программ поддержки малого предпринимательства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республиканском 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и местном уровнях.</w:t>
            </w:r>
          </w:p>
          <w:p w:rsidR="0046284E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 xml:space="preserve">4. Введение налоговых льгот </w:t>
            </w:r>
            <w:proofErr w:type="spellStart"/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инвестиционно-инновационного</w:t>
            </w:r>
            <w:proofErr w:type="spellEnd"/>
            <w:r w:rsidRPr="00B46923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ограниченных во времени и доступных для всех </w:t>
            </w:r>
            <w:proofErr w:type="spellStart"/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инвестиционно-активных</w:t>
            </w:r>
            <w:proofErr w:type="spellEnd"/>
            <w:r w:rsidRPr="00B46923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</w:t>
            </w: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923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1. Нестабильная политическая и экономическая ситуация в стране.</w:t>
            </w:r>
          </w:p>
          <w:p w:rsidR="0046284E" w:rsidRPr="00B46923" w:rsidRDefault="00B46923" w:rsidP="00B46923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3">
              <w:rPr>
                <w:rFonts w:ascii="Times New Roman" w:hAnsi="Times New Roman" w:cs="Times New Roman"/>
                <w:sz w:val="28"/>
                <w:szCs w:val="28"/>
              </w:rPr>
              <w:t>2. Нестабильная законодательная база.</w:t>
            </w:r>
          </w:p>
        </w:tc>
      </w:tr>
    </w:tbl>
    <w:p w:rsidR="007644B3" w:rsidRDefault="007644B3" w:rsidP="007644B3">
      <w:pPr>
        <w:rPr>
          <w:b/>
          <w:bCs/>
          <w:sz w:val="28"/>
          <w:szCs w:val="28"/>
        </w:rPr>
      </w:pPr>
    </w:p>
    <w:p w:rsidR="007644B3" w:rsidRDefault="007644B3" w:rsidP="00076987">
      <w:pPr>
        <w:rPr>
          <w:rFonts w:ascii="Times New Roman" w:hAnsi="Times New Roman" w:cs="Times New Roman"/>
          <w:sz w:val="28"/>
          <w:szCs w:val="28"/>
        </w:rPr>
      </w:pPr>
    </w:p>
    <w:sectPr w:rsidR="007644B3" w:rsidSect="009A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A67"/>
    <w:multiLevelType w:val="hybridMultilevel"/>
    <w:tmpl w:val="FF54D8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4C3CAD"/>
    <w:multiLevelType w:val="hybridMultilevel"/>
    <w:tmpl w:val="FF54D8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413161"/>
    <w:multiLevelType w:val="hybridMultilevel"/>
    <w:tmpl w:val="49F6F3BA"/>
    <w:lvl w:ilvl="0" w:tplc="EF74F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87452"/>
    <w:multiLevelType w:val="hybridMultilevel"/>
    <w:tmpl w:val="FF54D8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B53E72"/>
    <w:multiLevelType w:val="hybridMultilevel"/>
    <w:tmpl w:val="A18019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284E"/>
    <w:rsid w:val="00076987"/>
    <w:rsid w:val="0029034D"/>
    <w:rsid w:val="0046284E"/>
    <w:rsid w:val="00473BE1"/>
    <w:rsid w:val="00487F2B"/>
    <w:rsid w:val="0057152E"/>
    <w:rsid w:val="00603BD0"/>
    <w:rsid w:val="00620B72"/>
    <w:rsid w:val="007644B3"/>
    <w:rsid w:val="00776980"/>
    <w:rsid w:val="00867F25"/>
    <w:rsid w:val="00910327"/>
    <w:rsid w:val="009A6645"/>
    <w:rsid w:val="00A15A84"/>
    <w:rsid w:val="00A15C29"/>
    <w:rsid w:val="00AD775D"/>
    <w:rsid w:val="00AF155D"/>
    <w:rsid w:val="00B46923"/>
    <w:rsid w:val="00B81ED7"/>
    <w:rsid w:val="00B86D66"/>
    <w:rsid w:val="00BC288B"/>
    <w:rsid w:val="00DD357A"/>
    <w:rsid w:val="00E2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7272727272726974E-2"/>
          <c:y val="7.2202166064981962E-2"/>
          <c:w val="0.89454545454545631"/>
          <c:h val="0.610108303249099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физических лиц - предпринимателей</c:v>
                </c:pt>
              </c:strCache>
            </c:strRef>
          </c:tx>
          <c:spPr>
            <a:solidFill>
              <a:srgbClr val="9999FF"/>
            </a:solidFill>
            <a:ln w="1120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687252569192958E-2"/>
                  <c:y val="-5.3269718084735372E-2"/>
                </c:manualLayout>
              </c:layout>
              <c:showVal val="1"/>
            </c:dLbl>
            <c:dLbl>
              <c:idx val="1"/>
              <c:layout>
                <c:manualLayout>
                  <c:x val="1.6950509665949215E-2"/>
                  <c:y val="-4.6706675015808767E-2"/>
                </c:manualLayout>
              </c:layout>
              <c:showVal val="1"/>
            </c:dLbl>
            <c:dLbl>
              <c:idx val="2"/>
              <c:layout>
                <c:manualLayout>
                  <c:x val="1.5577403126341578E-2"/>
                  <c:y val="-4.0023246338501184E-2"/>
                </c:manualLayout>
              </c:layout>
              <c:showVal val="1"/>
            </c:dLbl>
            <c:spPr>
              <a:noFill/>
              <a:ln w="22407">
                <a:noFill/>
              </a:ln>
            </c:spPr>
            <c:txPr>
              <a:bodyPr/>
              <a:lstStyle/>
              <a:p>
                <a:pPr>
                  <a:defRPr sz="105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4820</c:v>
                </c:pt>
                <c:pt idx="1">
                  <c:v>4417</c:v>
                </c:pt>
                <c:pt idx="2">
                  <c:v>4379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них количество плательщики налогов</c:v>
                </c:pt>
              </c:strCache>
            </c:strRef>
          </c:tx>
          <c:spPr>
            <a:solidFill>
              <a:srgbClr val="FFFF99"/>
            </a:solidFill>
            <a:ln w="1120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911223380511423E-2"/>
                  <c:y val="-4.2940640284513713E-2"/>
                </c:manualLayout>
              </c:layout>
              <c:showVal val="1"/>
            </c:dLbl>
            <c:dLbl>
              <c:idx val="1"/>
              <c:layout>
                <c:manualLayout>
                  <c:x val="2.7629025931813225E-2"/>
                  <c:y val="-4.6764864189774949E-2"/>
                </c:manualLayout>
              </c:layout>
              <c:showVal val="1"/>
            </c:dLbl>
            <c:dLbl>
              <c:idx val="2"/>
              <c:layout>
                <c:manualLayout>
                  <c:x val="1.8983192119478489E-2"/>
                  <c:y val="-5.4412807294234165E-2"/>
                </c:manualLayout>
              </c:layout>
              <c:showVal val="1"/>
            </c:dLbl>
            <c:spPr>
              <a:noFill/>
              <a:ln w="22407">
                <a:noFill/>
              </a:ln>
            </c:spPr>
            <c:txPr>
              <a:bodyPr/>
              <a:lstStyle/>
              <a:p>
                <a:pPr>
                  <a:defRPr sz="105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4650</c:v>
                </c:pt>
                <c:pt idx="1">
                  <c:v>3821</c:v>
                </c:pt>
                <c:pt idx="2">
                  <c:v>3784</c:v>
                </c:pt>
              </c:numCache>
            </c:numRef>
          </c:val>
          <c:shape val="cylinder"/>
        </c:ser>
        <c:gapWidth val="80"/>
        <c:gapDepth val="0"/>
        <c:shape val="box"/>
        <c:axId val="151416832"/>
        <c:axId val="151418368"/>
        <c:axId val="0"/>
      </c:bar3DChart>
      <c:catAx>
        <c:axId val="151416832"/>
        <c:scaling>
          <c:orientation val="minMax"/>
        </c:scaling>
        <c:axPos val="b"/>
        <c:numFmt formatCode="General" sourceLinked="1"/>
        <c:tickLblPos val="low"/>
        <c:spPr>
          <a:ln w="28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418368"/>
        <c:crosses val="autoZero"/>
        <c:auto val="1"/>
        <c:lblAlgn val="ctr"/>
        <c:lblOffset val="100"/>
        <c:tickLblSkip val="1"/>
        <c:tickMarkSkip val="1"/>
      </c:catAx>
      <c:valAx>
        <c:axId val="151418368"/>
        <c:scaling>
          <c:orientation val="minMax"/>
        </c:scaling>
        <c:axPos val="l"/>
        <c:numFmt formatCode="General" sourceLinked="1"/>
        <c:tickLblPos val="nextTo"/>
        <c:spPr>
          <a:ln w="28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416832"/>
        <c:crosses val="autoZero"/>
        <c:crossBetween val="between"/>
      </c:valAx>
      <c:spPr>
        <a:noFill/>
        <a:ln w="22407">
          <a:noFill/>
        </a:ln>
      </c:spPr>
    </c:plotArea>
    <c:legend>
      <c:legendPos val="b"/>
      <c:layout>
        <c:manualLayout>
          <c:xMode val="edge"/>
          <c:yMode val="edge"/>
          <c:x val="0.16727272727272738"/>
          <c:y val="0.84115523465704134"/>
          <c:w val="0.63090909090909375"/>
          <c:h val="0.16245487364620959"/>
        </c:manualLayout>
      </c:layout>
      <c:spPr>
        <a:noFill/>
        <a:ln w="22407">
          <a:noFill/>
        </a:ln>
      </c:spPr>
      <c:txPr>
        <a:bodyPr/>
        <a:lstStyle/>
        <a:p>
          <a:pPr>
            <a:defRPr sz="9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5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7464788732394374E-2"/>
          <c:y val="5.2173913043478425E-2"/>
          <c:w val="0.90492957746479152"/>
          <c:h val="0.634782608695652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solidFill>
              <a:srgbClr val="9999FF"/>
            </a:solidFill>
            <a:ln w="111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0724309953190533E-2"/>
                  <c:y val="-5.7434820647419102E-2"/>
                </c:manualLayout>
              </c:layout>
              <c:showVal val="1"/>
            </c:dLbl>
            <c:dLbl>
              <c:idx val="1"/>
              <c:layout>
                <c:manualLayout>
                  <c:x val="1.9096208040154685E-2"/>
                  <c:y val="-5.1303092548214121E-2"/>
                </c:manualLayout>
              </c:layout>
              <c:showVal val="1"/>
            </c:dLbl>
            <c:dLbl>
              <c:idx val="2"/>
              <c:layout>
                <c:manualLayout>
                  <c:x val="1.7468106127118677E-2"/>
                  <c:y val="-3.981960135417853E-2"/>
                </c:manualLayout>
              </c:layout>
              <c:showVal val="1"/>
            </c:dLbl>
            <c:spPr>
              <a:noFill/>
              <a:ln w="22399">
                <a:noFill/>
              </a:ln>
            </c:spPr>
            <c:txPr>
              <a:bodyPr/>
              <a:lstStyle/>
              <a:p>
                <a:pPr>
                  <a:defRPr sz="101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164</c:v>
                </c:pt>
                <c:pt idx="1">
                  <c:v>180</c:v>
                </c:pt>
                <c:pt idx="2">
                  <c:v>205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физические лица - предприниматели</c:v>
                </c:pt>
              </c:strCache>
            </c:strRef>
          </c:tx>
          <c:spPr>
            <a:solidFill>
              <a:srgbClr val="FFFF99"/>
            </a:solidFill>
            <a:ln w="111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54215928734797E-2"/>
                  <c:y val="-3.8258530183727039E-2"/>
                </c:manualLayout>
              </c:layout>
              <c:showVal val="1"/>
            </c:dLbl>
            <c:dLbl>
              <c:idx val="1"/>
              <c:layout>
                <c:manualLayout>
                  <c:x val="2.6956310895438748E-2"/>
                  <c:y val="-5.7109018981322979E-2"/>
                </c:manualLayout>
              </c:layout>
              <c:showVal val="1"/>
            </c:dLbl>
            <c:dLbl>
              <c:idx val="2"/>
              <c:layout>
                <c:manualLayout>
                  <c:x val="1.8285773885910281E-2"/>
                  <c:y val="-6.5693940431359121E-2"/>
                </c:manualLayout>
              </c:layout>
              <c:showVal val="1"/>
            </c:dLbl>
            <c:spPr>
              <a:noFill/>
              <a:ln w="22399">
                <a:noFill/>
              </a:ln>
            </c:spPr>
            <c:txPr>
              <a:bodyPr/>
              <a:lstStyle/>
              <a:p>
                <a:pPr>
                  <a:defRPr sz="101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4820</c:v>
                </c:pt>
                <c:pt idx="1">
                  <c:v>4417</c:v>
                </c:pt>
                <c:pt idx="2">
                  <c:v>4379</c:v>
                </c:pt>
              </c:numCache>
            </c:numRef>
          </c:val>
          <c:shape val="cylinder"/>
        </c:ser>
        <c:gapWidth val="80"/>
        <c:gapDepth val="0"/>
        <c:shape val="box"/>
        <c:axId val="151431808"/>
        <c:axId val="151441792"/>
        <c:axId val="0"/>
      </c:bar3DChart>
      <c:catAx>
        <c:axId val="151431808"/>
        <c:scaling>
          <c:orientation val="minMax"/>
        </c:scaling>
        <c:axPos val="b"/>
        <c:numFmt formatCode="General" sourceLinked="1"/>
        <c:tickLblPos val="low"/>
        <c:spPr>
          <a:ln w="28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441792"/>
        <c:crosses val="autoZero"/>
        <c:auto val="1"/>
        <c:lblAlgn val="ctr"/>
        <c:lblOffset val="100"/>
        <c:tickLblSkip val="1"/>
        <c:tickMarkSkip val="1"/>
      </c:catAx>
      <c:valAx>
        <c:axId val="151441792"/>
        <c:scaling>
          <c:orientation val="minMax"/>
        </c:scaling>
        <c:axPos val="l"/>
        <c:numFmt formatCode="General" sourceLinked="1"/>
        <c:tickLblPos val="nextTo"/>
        <c:spPr>
          <a:ln w="28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431808"/>
        <c:crosses val="autoZero"/>
        <c:crossBetween val="between"/>
        <c:minorUnit val="1000"/>
      </c:valAx>
      <c:spPr>
        <a:noFill/>
        <a:ln w="22399">
          <a:noFill/>
        </a:ln>
      </c:spPr>
    </c:plotArea>
    <c:legend>
      <c:legendPos val="r"/>
      <c:layout>
        <c:manualLayout>
          <c:xMode val="edge"/>
          <c:yMode val="edge"/>
          <c:x val="0.11619718309859156"/>
          <c:y val="0.79565217391304344"/>
          <c:w val="0.7816901408450706"/>
          <c:h val="0.15652173913043543"/>
        </c:manualLayout>
      </c:layout>
      <c:spPr>
        <a:noFill/>
        <a:ln w="22399">
          <a:noFill/>
        </a:ln>
      </c:spPr>
      <c:txPr>
        <a:bodyPr/>
        <a:lstStyle/>
        <a:p>
          <a:pPr>
            <a:defRPr sz="9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8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12</cp:revision>
  <dcterms:created xsi:type="dcterms:W3CDTF">2016-03-24T17:02:00Z</dcterms:created>
  <dcterms:modified xsi:type="dcterms:W3CDTF">2019-01-27T13:54:00Z</dcterms:modified>
</cp:coreProperties>
</file>